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E1AAD" w14:textId="77777777" w:rsidR="00DA5CAF" w:rsidRPr="00DA5CAF" w:rsidRDefault="00DA5CAF" w:rsidP="00DA5CAF">
      <w:pPr>
        <w:tabs>
          <w:tab w:val="left" w:pos="1418"/>
        </w:tabs>
        <w:spacing w:after="0" w:line="360" w:lineRule="auto"/>
        <w:jc w:val="both"/>
        <w:rPr>
          <w:rFonts w:ascii="Arial" w:eastAsiaTheme="majorEastAsia" w:hAnsi="Arial" w:cs="Arial"/>
          <w:b/>
          <w:color w:val="000000"/>
          <w:sz w:val="20"/>
          <w:szCs w:val="20"/>
        </w:rPr>
      </w:pPr>
      <w:r w:rsidRPr="00DA5CAF">
        <w:rPr>
          <w:rFonts w:ascii="Arial" w:eastAsiaTheme="majorEastAsia" w:hAnsi="Arial" w:cs="Arial"/>
          <w:b/>
          <w:color w:val="000000"/>
          <w:sz w:val="20"/>
          <w:szCs w:val="20"/>
        </w:rPr>
        <w:t>Instrukcja</w:t>
      </w:r>
    </w:p>
    <w:p w14:paraId="4D9234F1" w14:textId="77777777" w:rsidR="00DA5CAF" w:rsidRPr="00DA5CAF" w:rsidRDefault="00DA5CAF" w:rsidP="00DA5CAF">
      <w:pPr>
        <w:tabs>
          <w:tab w:val="left" w:pos="1418"/>
        </w:tabs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A5CA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Jak zaliczyć do kosztów upominki dla kontrahentów?</w:t>
      </w:r>
    </w:p>
    <w:p w14:paraId="7D05D012" w14:textId="77777777" w:rsidR="00DA5CAF" w:rsidRPr="00DA5CAF" w:rsidRDefault="00DA5CAF" w:rsidP="00DA5CAF">
      <w:pPr>
        <w:tabs>
          <w:tab w:val="left" w:pos="1418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A5CAF">
        <w:rPr>
          <w:rFonts w:ascii="Arial" w:eastAsia="Times New Roman" w:hAnsi="Arial" w:cs="Arial"/>
          <w:sz w:val="20"/>
          <w:szCs w:val="20"/>
          <w:lang w:eastAsia="pl-PL"/>
        </w:rPr>
        <w:t>Luiza Pieprzyk</w:t>
      </w:r>
    </w:p>
    <w:p w14:paraId="630C5087" w14:textId="77777777" w:rsidR="00DA5CAF" w:rsidRPr="00DA5CAF" w:rsidRDefault="00DA5CAF" w:rsidP="00DA5CAF">
      <w:pPr>
        <w:tabs>
          <w:tab w:val="left" w:pos="1418"/>
        </w:tabs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6A7A2CF9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Jeśli </w:t>
      </w:r>
      <w:r w:rsidRPr="00DA5CAF">
        <w:rPr>
          <w:rFonts w:ascii="Arial" w:hAnsi="Arial" w:cs="Arial"/>
          <w:b/>
          <w:bCs/>
          <w:sz w:val="20"/>
          <w:szCs w:val="20"/>
        </w:rPr>
        <w:t>podatnik przekazuje towar swojemu kontrahentowi</w:t>
      </w:r>
      <w:r w:rsidRPr="00DA5CAF">
        <w:rPr>
          <w:rFonts w:ascii="Arial" w:eastAsiaTheme="minorEastAsia" w:hAnsi="Arial" w:cs="Arial"/>
          <w:b/>
          <w:bCs/>
          <w:sz w:val="20"/>
          <w:szCs w:val="20"/>
          <w:lang w:eastAsia="pl-PL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DA5CAF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w celach promocyjnych czy reklamowych, to zawsze nalicza VAT, gdy od nabycia tego towaru przysługiwało mu prawo do odliczenia VAT i pod warunkiem, że nie są to prezenty o małej wartości. </w:t>
      </w:r>
      <w:r w:rsidRPr="00DA5CAF">
        <w:rPr>
          <w:rFonts w:ascii="Arial" w:eastAsiaTheme="minorEastAsia" w:hAnsi="Arial" w:cs="Arial"/>
          <w:bCs/>
          <w:sz w:val="20"/>
          <w:szCs w:val="20"/>
          <w:lang w:eastAsia="pl-PL"/>
        </w:rPr>
        <w:t>Nieodpłatne świadczenie usług w celach promocyjnych czy reklamowych</w:t>
      </w:r>
      <w:r w:rsidRPr="00DA5CAF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 xml:space="preserve"> </w:t>
      </w:r>
      <w:r w:rsidRPr="00DA5CAF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nie podlega VAT, a podatnik może odliczyć VAT od zakupów związanych z tym świadczeniem.</w:t>
      </w:r>
      <w:r w:rsidRPr="00DA5CA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DA5CAF">
        <w:rPr>
          <w:rFonts w:ascii="Arial" w:eastAsiaTheme="minorEastAsia" w:hAnsi="Arial" w:cs="Arial"/>
          <w:bCs/>
          <w:sz w:val="20"/>
          <w:szCs w:val="20"/>
          <w:lang w:eastAsia="pl-PL"/>
        </w:rPr>
        <w:t>Częstym pytaniem zadawanym przez księgowych, przedsiębiorców jest to, czy trzeba naliczać VAT, przekazując towary o małej wartości pakowane zbiorczo.</w:t>
      </w:r>
    </w:p>
    <w:p w14:paraId="6C1C35CE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color w:val="000000"/>
          <w:sz w:val="20"/>
          <w:szCs w:val="20"/>
          <w:lang w:eastAsia="pl-PL"/>
        </w:rPr>
      </w:pPr>
    </w:p>
    <w:p w14:paraId="11490884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/>
          <w:bCs/>
          <w:color w:val="000000"/>
          <w:sz w:val="20"/>
          <w:szCs w:val="20"/>
          <w:lang w:eastAsia="pl-PL"/>
        </w:rPr>
        <w:t xml:space="preserve">Przekazanie materiałów reklamowych, których cena jednostkowa nabycia lub wytworzenia nie przekracza 20 zł, nie podlega VAT, nawet gdy są przekazywane w opakowaniach zbiorczych. </w:t>
      </w:r>
      <w:r w:rsidRPr="00DA5CAF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Obowiązek rozliczenia VAT należnego od nieodpłatnego przekazania towaru nie wystąpi również w wypadku, gdy towary są przekazywane w opakowaniu zbiorczym (np. paczce), pod warunkiem że cena jednostkowa netto poszczególnych towarów nie przekracza 20 zł.</w:t>
      </w:r>
    </w:p>
    <w:p w14:paraId="39D859FD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</w:p>
    <w:p w14:paraId="3C0114EE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>Jak zatem rozliczyć próbki przekazywane kontrahentowi z UE o wartości 10 000 zł jedna?</w:t>
      </w:r>
    </w:p>
    <w:p w14:paraId="108CB605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Cs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Cs/>
          <w:sz w:val="20"/>
          <w:szCs w:val="20"/>
          <w:lang w:eastAsia="pl-PL"/>
        </w:rPr>
        <w:t>Odpowiadaj</w:t>
      </w:r>
      <w:r w:rsidRPr="00DA5CAF">
        <w:rPr>
          <w:rFonts w:ascii="Arial" w:eastAsiaTheme="majorEastAsia" w:hAnsi="Arial" w:cs="Arial"/>
          <w:color w:val="000000"/>
          <w:sz w:val="20"/>
          <w:szCs w:val="20"/>
        </w:rPr>
        <w:t>ą</w:t>
      </w:r>
      <w:r w:rsidRPr="00DA5CAF">
        <w:rPr>
          <w:rFonts w:ascii="Arial" w:eastAsiaTheme="minorEastAsia" w:hAnsi="Arial" w:cs="Arial"/>
          <w:bCs/>
          <w:sz w:val="20"/>
          <w:szCs w:val="20"/>
          <w:lang w:eastAsia="pl-PL"/>
        </w:rPr>
        <w:t xml:space="preserve">c na to pytanie, należy każdorazowo przeanalizować przepisy związane z nieodpłatnym przekazaniem na rzecz kontrahentów. </w:t>
      </w:r>
    </w:p>
    <w:p w14:paraId="012FA334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</w:p>
    <w:p w14:paraId="1B94BD03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Cs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>Najważniejsze wnioski:</w:t>
      </w:r>
      <w:r w:rsidRPr="00DA5CAF">
        <w:rPr>
          <w:rFonts w:ascii="Arial" w:eastAsiaTheme="minorEastAsia" w:hAnsi="Arial" w:cs="Arial"/>
          <w:bCs/>
          <w:sz w:val="20"/>
          <w:szCs w:val="20"/>
          <w:lang w:eastAsia="pl-PL"/>
        </w:rPr>
        <w:t xml:space="preserve"> Nie ma rozróżnienia, jeśli chodzi o przekazanie próbki (zgodnie z definicją ustawową w VAT), pomiędzy kontrahentem polskim a unijnym. Inaczej sprawa wygląda, jeśli taką próbkę przekazuje się kontrahentowi z kraju trzeciego, czyli poza UE. W tym wypadku należy skonsultować się ze specjalistą od spraw celnych, bo nie ma swobody przepływu towarów jak w UE. </w:t>
      </w:r>
    </w:p>
    <w:p w14:paraId="3423DBA2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</w:p>
    <w:p w14:paraId="5EAD9607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 xml:space="preserve">Najczęściej omawiane problemy podatników związane z przekazaniami na rzecz kontrahentów </w:t>
      </w:r>
    </w:p>
    <w:p w14:paraId="44616744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>Jak rozliczyć VAT od nagród przekazywanych w ramach akcji promocyjnej organizowanej na rzecz innego podmiotu?</w:t>
      </w:r>
    </w:p>
    <w:p w14:paraId="67C38041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 xml:space="preserve">Podmiot, który organizuje akcję promocyjną na zlecenie innego podmiotu i w jej ramach przekazuje nagrody dla uczestników konkursu, nie dokonuje nieodpłatnej dostawy lub świadczenia usług – jest to odpłatna dostawa albo usługa. Jeśli nagrody są przekazywane osobom fizycznym nieprowadzącym działalności, te czynności należy zaewidencjonować na kasie fiskalnej, gdy organizator konkursu nie może korzystać ze zwolnienia z obowiązku ewidencjonowania. Organizator konkursu może natomiast odliczyć VAT od zakupu przekazanych prezentów – Dyrektor Krajowej Informacji Skarbowej w piśmie z dnia 11 sierpnia 2020 r., sygn. akt: </w:t>
      </w:r>
      <w:r w:rsidRPr="00DA5CAF">
        <w:rPr>
          <w:rFonts w:ascii="Arial" w:hAnsi="Arial" w:cs="Arial"/>
          <w:sz w:val="20"/>
          <w:szCs w:val="20"/>
        </w:rPr>
        <w:t>0114-KDIP1-3.4012.322.2020.2.JF.</w:t>
      </w:r>
    </w:p>
    <w:p w14:paraId="521C34AC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</w:p>
    <w:p w14:paraId="1F1D9C61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>Czy trzeba rozliczać VAT, gdy nagroda w formie pieniężnej znajduje się na karcie przedpłaconej?</w:t>
      </w:r>
    </w:p>
    <w:p w14:paraId="4E04EC4F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lastRenderedPageBreak/>
        <w:t>Przekazanie nagrody w formie pieniężnej na karcie przepłaconej nie podlega VAT. Przekazania karty nie należy dokumentować fakturą – Dyrektor Krajowej Informacji Skarbowej w piśmie z dnia 3 lipca 2020 r., sygn. akt: 0113-KDIPT1-2.4012.262.2020.4.JS.</w:t>
      </w:r>
    </w:p>
    <w:p w14:paraId="2DEA7FF2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</w:p>
    <w:p w14:paraId="183B3A50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>Jak dokumentować zwrot kosztów za zakup prezentów przekazywanych uczestnikom konkursu?</w:t>
      </w:r>
    </w:p>
    <w:p w14:paraId="3338C8E9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>Organizator konkursu nie powinien wystawiać faktury zleceniodawcy, który zwraca mu koszty zakupu nagród, gdyż nie dokonuje na jego rzecz dostawy. Jest tak, gdy właścicielem nagród jest organizator konkursu, a dostawa towarów ma miejsce na rzecz uczestnika konkursu. W takim wypadku można wystawić notę obciążeniową – w piśmie Dyrektora Krajowej Informacji Skarbowej z dnia 10 czerwca 2020 r., sygn. akt: 0114-KDIP1-3.4012.125.2020.5.ISK.</w:t>
      </w:r>
    </w:p>
    <w:p w14:paraId="24804ED0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</w:p>
    <w:p w14:paraId="695C55EE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>Jak wygląda opodatkowanie materiałów reklamowych przekazanych kontrahentom?</w:t>
      </w:r>
    </w:p>
    <w:p w14:paraId="16597989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A5CAF">
        <w:rPr>
          <w:rFonts w:ascii="Arial" w:hAnsi="Arial" w:cs="Arial"/>
          <w:b/>
          <w:bCs/>
          <w:sz w:val="20"/>
          <w:szCs w:val="20"/>
        </w:rPr>
        <w:t>Materiały reklamowe:</w:t>
      </w:r>
      <w:r w:rsidRPr="00DA5CAF">
        <w:rPr>
          <w:rFonts w:ascii="Arial" w:eastAsiaTheme="minorEastAsia" w:hAnsi="Arial" w:cs="Arial"/>
          <w:b/>
          <w:bCs/>
          <w:color w:val="0000FF"/>
          <w:sz w:val="20"/>
          <w:szCs w:val="20"/>
          <w:lang w:eastAsia="pl-PL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DA5CAF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Opodatkowaniu VAT podlega nieodpłatne przekazywanie towarów należących do przedsiębiorstwa, gdy przy ich nabyciu odliczono VAT. Gdy spełnia definicję prezentu o małej wartości, to jego nieodpłatne przekazanie nie będzie podlegało VAT. </w:t>
      </w:r>
    </w:p>
    <w:p w14:paraId="019829BB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 xml:space="preserve">Uwaga! </w:t>
      </w:r>
    </w:p>
    <w:p w14:paraId="45859DCF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color w:val="000000"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Nie ma już przepisu, który przewidywał, że przekazanie materiałów reklamowych nie podlega VAT. Dyrektor KIS w interpretacji indywidualnej z dnia 5 listopada 2020 r., </w:t>
      </w:r>
      <w:r w:rsidRPr="00DA5CAF">
        <w:rPr>
          <w:rFonts w:ascii="Arial" w:hAnsi="Arial" w:cs="Arial"/>
          <w:sz w:val="20"/>
          <w:szCs w:val="20"/>
        </w:rPr>
        <w:t>znak:</w:t>
      </w:r>
      <w:r w:rsidRPr="00DA5CAF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 </w:t>
      </w:r>
      <w:r w:rsidRPr="00DA5CAF">
        <w:rPr>
          <w:rFonts w:ascii="Arial" w:hAnsi="Arial" w:cs="Arial"/>
          <w:sz w:val="20"/>
          <w:szCs w:val="20"/>
        </w:rPr>
        <w:t>0113-KDIPT1-1.4012.645.2020.2.AK,</w:t>
      </w:r>
      <w:r w:rsidRPr="00DA5CAF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 uznał, że nieodpłatne wydanie towarów, np. testerów, ekspozytorów, drukowanych materiałów reklamowych i informacyjnych oraz towarów własnych zużywanych na cele promocyjno-reklamowe w </w:t>
      </w:r>
      <w:proofErr w:type="spellStart"/>
      <w:r w:rsidRPr="00DA5CAF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social</w:t>
      </w:r>
      <w:proofErr w:type="spellEnd"/>
      <w:r w:rsidRPr="00DA5CAF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 mediach, </w:t>
      </w:r>
      <w:r w:rsidRPr="00DA5CAF">
        <w:rPr>
          <w:rFonts w:ascii="Arial" w:hAnsi="Arial" w:cs="Arial"/>
          <w:b/>
          <w:bCs/>
          <w:sz w:val="20"/>
          <w:szCs w:val="20"/>
        </w:rPr>
        <w:t>nie podlega opodatkowaniu VAT.</w:t>
      </w:r>
      <w:r w:rsidRPr="00DA5CAF">
        <w:rPr>
          <w:rFonts w:ascii="Arial" w:eastAsiaTheme="minorEastAsia" w:hAnsi="Arial" w:cs="Arial"/>
          <w:b/>
          <w:bCs/>
          <w:sz w:val="20"/>
          <w:szCs w:val="20"/>
          <w:u w:val="single"/>
          <w:lang w:eastAsia="pl-PL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</w:p>
    <w:p w14:paraId="3203F4DA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>W interpretacji stwierdzono, że:</w:t>
      </w:r>
      <w:r w:rsidRPr="00DA5CAF">
        <w:rPr>
          <w:rFonts w:ascii="Arial" w:eastAsiaTheme="minorEastAsia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DA5CAF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„Odbiorca tych towarów ich nie konsumuje, zatem w wyniku dokonanej dostawy nie zostaje zaspokojona jakakolwiek potrzeba ani też nie pojawia się wskutek tego przysporzenie majątkowe. </w:t>
      </w:r>
      <w:r w:rsidRPr="00DA5CAF">
        <w:rPr>
          <w:rFonts w:ascii="Arial" w:eastAsiaTheme="minorEastAsia" w:hAnsi="Arial" w:cs="Arial"/>
          <w:b/>
          <w:bCs/>
          <w:color w:val="000000"/>
          <w:sz w:val="20"/>
          <w:szCs w:val="20"/>
          <w:lang w:eastAsia="pl-PL"/>
        </w:rPr>
        <w:t>Materiały te spełniają jedynie funkcję promocyjną, reklamową, ekspozycyjną produktów podatnika oraz mają na celu zwiększyć ich rozpoznawalność, co ma prowadzić do zwiększenia ich sprzedaży”.</w:t>
      </w:r>
    </w:p>
    <w:p w14:paraId="5CD52EA7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</w:p>
    <w:p w14:paraId="796BA63D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>Czy faktura dokumentująca wydanie nagród wymienionych w załączniku nr 15 powinna mieć oznaczenie „mechanizm podzielonej płatności"?</w:t>
      </w:r>
    </w:p>
    <w:p w14:paraId="31D56FBE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>Faktura dokumentująca wydanie nagród w konkursie, które stanowią towary lub usługi z załącznika nr 15 do ustawy, powinna mieć oznaczenie „mechanizm podzielonej wartości”, gdy kwota brutto przekracza 15 000 zł – pismo Dyrektora Krajowej Informacji Skarbowej z dnia 10 czerwca 2020 r., sygn. akt: 0114-KDIP1-3.4012.125.2020.5.ISK.</w:t>
      </w:r>
    </w:p>
    <w:p w14:paraId="642C8FFB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</w:p>
    <w:p w14:paraId="1C9C86B9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>Czy należy naliczyć VAT, gdy nagroda jest przekazywana w postaci bonu różnego przeznaczenia?</w:t>
      </w:r>
    </w:p>
    <w:p w14:paraId="3BE92852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>Wydanie przez organizatora konkursu nagród w postaci bonów różnego przeznaczenia stanowi niepodlegający opodatkowaniu transfer bonu – Dyrektor Krajowej Informacji Skarbowej w piśmie z dnia 10 czerwca 2020 r., sygn. akt: 0114-KDIP1-3.4012.125.2020.5.ISK.</w:t>
      </w:r>
    </w:p>
    <w:p w14:paraId="7ABCA5B5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</w:p>
    <w:p w14:paraId="322DFB61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lastRenderedPageBreak/>
        <w:t>Czy można odliczyć VAT od zakupu bonów jednego przeznaczenia, które zostaną przekazane uczestnikom programu lojalnościowego?</w:t>
      </w:r>
    </w:p>
    <w:p w14:paraId="29117E00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>Organizatorowi programu lojalnościowego przysługuje prawo do odliczenia podatku naliczonego z tytułu nabycia bonów jednego przeznaczenia, które są następnie wydawane na rzecz uczestników w ramach programu – Dyrektor Krajowej Informacji Skarbowej w piśmie z dnia 10 czerwca 2020 r., sygn. akt: 0114-KDIP1-3.4012.125.2020.5.ISK.</w:t>
      </w:r>
    </w:p>
    <w:p w14:paraId="1F1B7D99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CAE27E0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A5CAF">
        <w:rPr>
          <w:rFonts w:ascii="Arial" w:eastAsia="Times New Roman" w:hAnsi="Arial" w:cs="Arial"/>
          <w:b/>
          <w:sz w:val="20"/>
          <w:szCs w:val="20"/>
          <w:lang w:eastAsia="pl-PL"/>
        </w:rPr>
        <w:t>Podstawa prawna</w:t>
      </w:r>
    </w:p>
    <w:p w14:paraId="403CBFA6" w14:textId="77777777" w:rsidR="00DA5CAF" w:rsidRPr="00DA5CAF" w:rsidRDefault="00DA5CAF" w:rsidP="00DA5CAF">
      <w:pPr>
        <w:numPr>
          <w:ilvl w:val="0"/>
          <w:numId w:val="32"/>
        </w:numPr>
        <w:kinsoku w:val="0"/>
        <w:overflowPunct w:val="0"/>
        <w:spacing w:after="0" w:line="360" w:lineRule="auto"/>
        <w:ind w:left="284" w:hanging="284"/>
        <w:contextualSpacing/>
        <w:jc w:val="both"/>
        <w:textAlignment w:val="baseline"/>
        <w:rPr>
          <w:rFonts w:ascii="Arial" w:eastAsiaTheme="minorEastAsia" w:hAnsi="Arial" w:cs="Arial"/>
          <w:bCs/>
          <w:color w:val="000000"/>
          <w:sz w:val="20"/>
          <w:szCs w:val="20"/>
          <w:lang w:eastAsia="pl-PL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DA5CAF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 xml:space="preserve">Pismo Dyrektora Krajowej Informacji Skarbowej z dnia 11 sierpnia 2020 r., sygn. akt: </w:t>
      </w:r>
      <w:r w:rsidRPr="00DA5CAF">
        <w:rPr>
          <w:rFonts w:ascii="Arial" w:hAnsi="Arial" w:cs="Arial"/>
          <w:sz w:val="20"/>
          <w:szCs w:val="20"/>
        </w:rPr>
        <w:t>0114-KDIP1-3.4012.322.2020.2.JF.</w:t>
      </w:r>
    </w:p>
    <w:p w14:paraId="75912622" w14:textId="77777777" w:rsidR="00DA5CAF" w:rsidRPr="00DA5CAF" w:rsidRDefault="00DA5CAF" w:rsidP="00DA5CAF">
      <w:pPr>
        <w:numPr>
          <w:ilvl w:val="0"/>
          <w:numId w:val="32"/>
        </w:numPr>
        <w:kinsoku w:val="0"/>
        <w:overflowPunct w:val="0"/>
        <w:spacing w:after="0" w:line="360" w:lineRule="auto"/>
        <w:ind w:left="284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>Pismo Dyrektora Krajowej Informacji Skarbowej z dnia 3 lipca 2020 r., sygn. akt: 0113-KDIPT1-2.4012.262.2020.4.JS.</w:t>
      </w:r>
    </w:p>
    <w:p w14:paraId="5C70D698" w14:textId="77777777" w:rsidR="00DA5CAF" w:rsidRPr="00DA5CAF" w:rsidRDefault="00DA5CAF" w:rsidP="00DA5CAF">
      <w:pPr>
        <w:numPr>
          <w:ilvl w:val="0"/>
          <w:numId w:val="32"/>
        </w:numPr>
        <w:kinsoku w:val="0"/>
        <w:overflowPunct w:val="0"/>
        <w:spacing w:after="0" w:line="360" w:lineRule="auto"/>
        <w:ind w:left="284" w:hanging="284"/>
        <w:contextualSpacing/>
        <w:jc w:val="both"/>
        <w:textAlignment w:val="baseline"/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>Pismo Dyrektora Krajowej Informacji Skarbowej z dnia 10 czerwca 2020 r., sygn. akt: 0114-KDIP1-3.4012.125.2020.5.ISK.</w:t>
      </w:r>
    </w:p>
    <w:p w14:paraId="6FE562F4" w14:textId="77777777" w:rsidR="00DA5CAF" w:rsidRPr="00DA5CAF" w:rsidRDefault="00DA5CAF" w:rsidP="00DA5CAF">
      <w:pPr>
        <w:numPr>
          <w:ilvl w:val="0"/>
          <w:numId w:val="32"/>
        </w:numPr>
        <w:kinsoku w:val="0"/>
        <w:overflowPunct w:val="0"/>
        <w:spacing w:after="0" w:line="360" w:lineRule="auto"/>
        <w:ind w:left="284" w:hanging="284"/>
        <w:contextualSpacing/>
        <w:jc w:val="both"/>
        <w:textAlignment w:val="baseline"/>
        <w:rPr>
          <w:rFonts w:ascii="Arial" w:hAnsi="Arial" w:cs="Arial"/>
          <w:sz w:val="20"/>
          <w:szCs w:val="20"/>
        </w:rPr>
      </w:pPr>
      <w:r w:rsidRPr="00DA5CAF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Interpretacja indywidualna Dyrektora </w:t>
      </w:r>
      <w:r w:rsidRPr="00DA5CAF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>Krajowej Informacji Skarbowej</w:t>
      </w:r>
      <w:r w:rsidRPr="00DA5CAF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 w z dnia 5 listopada 2020 r., </w:t>
      </w:r>
      <w:r w:rsidRPr="00DA5CAF">
        <w:rPr>
          <w:rFonts w:ascii="Arial" w:hAnsi="Arial" w:cs="Arial"/>
          <w:sz w:val="20"/>
          <w:szCs w:val="20"/>
        </w:rPr>
        <w:t>znak:</w:t>
      </w:r>
      <w:r w:rsidRPr="00DA5CAF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 </w:t>
      </w:r>
      <w:r w:rsidRPr="00DA5CAF">
        <w:rPr>
          <w:rFonts w:ascii="Arial" w:hAnsi="Arial" w:cs="Arial"/>
          <w:sz w:val="20"/>
          <w:szCs w:val="20"/>
        </w:rPr>
        <w:t>0113-KDIPT1-1.4012.645.2020.2.AK.</w:t>
      </w:r>
    </w:p>
    <w:p w14:paraId="4E120D65" w14:textId="77777777" w:rsidR="00DA5CAF" w:rsidRPr="00DA5CAF" w:rsidRDefault="00DA5CAF" w:rsidP="00DA5CAF">
      <w:pPr>
        <w:numPr>
          <w:ilvl w:val="0"/>
          <w:numId w:val="32"/>
        </w:numPr>
        <w:kinsoku w:val="0"/>
        <w:overflowPunct w:val="0"/>
        <w:spacing w:after="0" w:line="360" w:lineRule="auto"/>
        <w:ind w:left="284" w:hanging="284"/>
        <w:contextualSpacing/>
        <w:jc w:val="both"/>
        <w:textAlignment w:val="baseline"/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>Pismo Dyrektora Krajowej Informacji Skarbowej z dnia 10 czerwca 2020 r., sygn. akt: 0114-KDIP1-3.4012.125.2020.5.ISK.</w:t>
      </w:r>
    </w:p>
    <w:p w14:paraId="2598C51E" w14:textId="77777777" w:rsidR="00DA5CAF" w:rsidRPr="00DA5CAF" w:rsidRDefault="00DA5CAF" w:rsidP="00DA5CAF">
      <w:pPr>
        <w:numPr>
          <w:ilvl w:val="0"/>
          <w:numId w:val="32"/>
        </w:numPr>
        <w:kinsoku w:val="0"/>
        <w:overflowPunct w:val="0"/>
        <w:spacing w:after="0" w:line="360" w:lineRule="auto"/>
        <w:ind w:left="284" w:hanging="284"/>
        <w:contextualSpacing/>
        <w:jc w:val="both"/>
        <w:textAlignment w:val="baseline"/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</w:pPr>
      <w:r w:rsidRPr="00DA5CAF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 xml:space="preserve">Interpretacja indywidualna Dyrektora Krajowej Informacji Skarbowej z dnia 10 czerwca 2020 r., </w:t>
      </w:r>
      <w:r w:rsidRPr="00DA5CAF">
        <w:rPr>
          <w:rFonts w:ascii="Arial" w:hAnsi="Arial" w:cs="Arial"/>
          <w:sz w:val="20"/>
          <w:szCs w:val="20"/>
        </w:rPr>
        <w:t>znak:</w:t>
      </w:r>
      <w:r w:rsidRPr="00DA5CAF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 xml:space="preserve"> 0114-KDIP1-3.4012.125.2020.5.ISK.</w:t>
      </w:r>
    </w:p>
    <w:p w14:paraId="70CED92D" w14:textId="77777777" w:rsidR="00DA5CAF" w:rsidRPr="00DA5CAF" w:rsidRDefault="00DA5CAF" w:rsidP="00DA5CAF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A2F95AA" w14:textId="77777777" w:rsidR="0054151C" w:rsidRDefault="0054151C">
      <w:bookmarkStart w:id="0" w:name="_GoBack"/>
      <w:bookmarkEnd w:id="0"/>
    </w:p>
    <w:sectPr w:rsidR="00541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157BA"/>
    <w:multiLevelType w:val="hybridMultilevel"/>
    <w:tmpl w:val="62DE6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8574B"/>
    <w:multiLevelType w:val="hybridMultilevel"/>
    <w:tmpl w:val="3DF08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055E"/>
    <w:multiLevelType w:val="hybridMultilevel"/>
    <w:tmpl w:val="2EA6E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11AA7"/>
    <w:multiLevelType w:val="hybridMultilevel"/>
    <w:tmpl w:val="7DD2449A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16FB8"/>
    <w:multiLevelType w:val="hybridMultilevel"/>
    <w:tmpl w:val="5B6E21EC"/>
    <w:lvl w:ilvl="0" w:tplc="91586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F634E"/>
    <w:multiLevelType w:val="hybridMultilevel"/>
    <w:tmpl w:val="C6CCF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4344E"/>
    <w:multiLevelType w:val="hybridMultilevel"/>
    <w:tmpl w:val="A36AC922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31DC5"/>
    <w:multiLevelType w:val="hybridMultilevel"/>
    <w:tmpl w:val="9B36F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3F02"/>
    <w:multiLevelType w:val="hybridMultilevel"/>
    <w:tmpl w:val="1CB83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31B0"/>
    <w:multiLevelType w:val="hybridMultilevel"/>
    <w:tmpl w:val="C58ADB7A"/>
    <w:lvl w:ilvl="0" w:tplc="24AC5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739E5"/>
    <w:multiLevelType w:val="hybridMultilevel"/>
    <w:tmpl w:val="A8380146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D5105"/>
    <w:multiLevelType w:val="hybridMultilevel"/>
    <w:tmpl w:val="DE4ED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8752E"/>
    <w:multiLevelType w:val="hybridMultilevel"/>
    <w:tmpl w:val="7DD48D66"/>
    <w:lvl w:ilvl="0" w:tplc="FB1E79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3206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A6D7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7AC4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D21F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9C1A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8E9F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B817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DA6CF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9347565"/>
    <w:multiLevelType w:val="hybridMultilevel"/>
    <w:tmpl w:val="CD609446"/>
    <w:lvl w:ilvl="0" w:tplc="91586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948ED"/>
    <w:multiLevelType w:val="hybridMultilevel"/>
    <w:tmpl w:val="005E6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26606"/>
    <w:multiLevelType w:val="hybridMultilevel"/>
    <w:tmpl w:val="81DEA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052641"/>
    <w:multiLevelType w:val="hybridMultilevel"/>
    <w:tmpl w:val="6DC0C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4072D5"/>
    <w:multiLevelType w:val="hybridMultilevel"/>
    <w:tmpl w:val="53E62704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43F36"/>
    <w:multiLevelType w:val="hybridMultilevel"/>
    <w:tmpl w:val="1F126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F6AAB"/>
    <w:multiLevelType w:val="hybridMultilevel"/>
    <w:tmpl w:val="DBEA430A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192C1B"/>
    <w:multiLevelType w:val="hybridMultilevel"/>
    <w:tmpl w:val="720488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9072D2"/>
    <w:multiLevelType w:val="hybridMultilevel"/>
    <w:tmpl w:val="57FCB7BC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056FD"/>
    <w:multiLevelType w:val="hybridMultilevel"/>
    <w:tmpl w:val="FA3C7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B718F"/>
    <w:multiLevelType w:val="hybridMultilevel"/>
    <w:tmpl w:val="7D9C264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4" w15:restartNumberingAfterBreak="0">
    <w:nsid w:val="536D4827"/>
    <w:multiLevelType w:val="hybridMultilevel"/>
    <w:tmpl w:val="802EFC3E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C204C"/>
    <w:multiLevelType w:val="hybridMultilevel"/>
    <w:tmpl w:val="6528286C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F0A42"/>
    <w:multiLevelType w:val="hybridMultilevel"/>
    <w:tmpl w:val="94DA0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B1EAD"/>
    <w:multiLevelType w:val="hybridMultilevel"/>
    <w:tmpl w:val="020AB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BB72D9"/>
    <w:multiLevelType w:val="hybridMultilevel"/>
    <w:tmpl w:val="74A6A316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F0083"/>
    <w:multiLevelType w:val="hybridMultilevel"/>
    <w:tmpl w:val="AEA8F318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C18C5"/>
    <w:multiLevelType w:val="multilevel"/>
    <w:tmpl w:val="8B92FE8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4C5EA1"/>
    <w:multiLevelType w:val="hybridMultilevel"/>
    <w:tmpl w:val="3AD2FE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6342A"/>
    <w:multiLevelType w:val="hybridMultilevel"/>
    <w:tmpl w:val="FB687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591798"/>
    <w:multiLevelType w:val="hybridMultilevel"/>
    <w:tmpl w:val="D07E0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FF5614"/>
    <w:multiLevelType w:val="hybridMultilevel"/>
    <w:tmpl w:val="E5AA3BCC"/>
    <w:lvl w:ilvl="0" w:tplc="D92E3DA8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0F533A8"/>
    <w:multiLevelType w:val="hybridMultilevel"/>
    <w:tmpl w:val="CBAE85CE"/>
    <w:lvl w:ilvl="0" w:tplc="0415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6A4AF5"/>
    <w:multiLevelType w:val="hybridMultilevel"/>
    <w:tmpl w:val="D8A84CE6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383E14"/>
    <w:multiLevelType w:val="multilevel"/>
    <w:tmpl w:val="8542D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CF49B9"/>
    <w:multiLevelType w:val="hybridMultilevel"/>
    <w:tmpl w:val="DED6798A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876F99"/>
    <w:multiLevelType w:val="hybridMultilevel"/>
    <w:tmpl w:val="097653CA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44E3D"/>
    <w:multiLevelType w:val="hybridMultilevel"/>
    <w:tmpl w:val="A402894C"/>
    <w:lvl w:ilvl="0" w:tplc="91586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4"/>
  </w:num>
  <w:num w:numId="4">
    <w:abstractNumId w:val="40"/>
  </w:num>
  <w:num w:numId="5">
    <w:abstractNumId w:val="37"/>
  </w:num>
  <w:num w:numId="6">
    <w:abstractNumId w:val="12"/>
  </w:num>
  <w:num w:numId="7">
    <w:abstractNumId w:val="35"/>
  </w:num>
  <w:num w:numId="8">
    <w:abstractNumId w:val="14"/>
  </w:num>
  <w:num w:numId="9">
    <w:abstractNumId w:val="15"/>
  </w:num>
  <w:num w:numId="10">
    <w:abstractNumId w:val="18"/>
  </w:num>
  <w:num w:numId="11">
    <w:abstractNumId w:val="29"/>
  </w:num>
  <w:num w:numId="12">
    <w:abstractNumId w:val="16"/>
  </w:num>
  <w:num w:numId="13">
    <w:abstractNumId w:val="1"/>
  </w:num>
  <w:num w:numId="14">
    <w:abstractNumId w:val="27"/>
  </w:num>
  <w:num w:numId="15">
    <w:abstractNumId w:val="33"/>
  </w:num>
  <w:num w:numId="16">
    <w:abstractNumId w:val="31"/>
  </w:num>
  <w:num w:numId="17">
    <w:abstractNumId w:val="5"/>
  </w:num>
  <w:num w:numId="18">
    <w:abstractNumId w:val="30"/>
  </w:num>
  <w:num w:numId="19">
    <w:abstractNumId w:val="19"/>
  </w:num>
  <w:num w:numId="20">
    <w:abstractNumId w:val="23"/>
  </w:num>
  <w:num w:numId="21">
    <w:abstractNumId w:val="22"/>
  </w:num>
  <w:num w:numId="22">
    <w:abstractNumId w:val="2"/>
  </w:num>
  <w:num w:numId="23">
    <w:abstractNumId w:val="3"/>
  </w:num>
  <w:num w:numId="24">
    <w:abstractNumId w:val="36"/>
  </w:num>
  <w:num w:numId="25">
    <w:abstractNumId w:val="17"/>
  </w:num>
  <w:num w:numId="26">
    <w:abstractNumId w:val="10"/>
  </w:num>
  <w:num w:numId="27">
    <w:abstractNumId w:val="26"/>
  </w:num>
  <w:num w:numId="28">
    <w:abstractNumId w:val="21"/>
  </w:num>
  <w:num w:numId="29">
    <w:abstractNumId w:val="6"/>
  </w:num>
  <w:num w:numId="30">
    <w:abstractNumId w:val="34"/>
  </w:num>
  <w:num w:numId="31">
    <w:abstractNumId w:val="20"/>
  </w:num>
  <w:num w:numId="32">
    <w:abstractNumId w:val="7"/>
  </w:num>
  <w:num w:numId="33">
    <w:abstractNumId w:val="24"/>
  </w:num>
  <w:num w:numId="34">
    <w:abstractNumId w:val="25"/>
  </w:num>
  <w:num w:numId="35">
    <w:abstractNumId w:val="0"/>
  </w:num>
  <w:num w:numId="36">
    <w:abstractNumId w:val="32"/>
  </w:num>
  <w:num w:numId="37">
    <w:abstractNumId w:val="38"/>
  </w:num>
  <w:num w:numId="38">
    <w:abstractNumId w:val="11"/>
  </w:num>
  <w:num w:numId="39">
    <w:abstractNumId w:val="28"/>
  </w:num>
  <w:num w:numId="40">
    <w:abstractNumId w:val="39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4A1"/>
    <w:rsid w:val="0054151C"/>
    <w:rsid w:val="008C54A1"/>
    <w:rsid w:val="00DA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02296E-01C4-432E-A90B-7FBC69F8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5C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A5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A5C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5C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A5C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A5C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DA5CAF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A5CAF"/>
    <w:rPr>
      <w:b/>
      <w:bCs/>
    </w:r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DA5CAF"/>
  </w:style>
  <w:style w:type="character" w:customStyle="1" w:styleId="hgkelc">
    <w:name w:val="hgkelc"/>
    <w:basedOn w:val="Domylnaczcionkaakapitu"/>
    <w:rsid w:val="00DA5CAF"/>
  </w:style>
  <w:style w:type="character" w:customStyle="1" w:styleId="verd">
    <w:name w:val="verd"/>
    <w:basedOn w:val="Domylnaczcionkaakapitu"/>
    <w:rsid w:val="00DA5CAF"/>
  </w:style>
  <w:style w:type="paragraph" w:styleId="NormalnyWeb">
    <w:name w:val="Normal (Web)"/>
    <w:basedOn w:val="Normalny"/>
    <w:uiPriority w:val="99"/>
    <w:unhideWhenUsed/>
    <w:rsid w:val="00DA5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ct">
    <w:name w:val="act"/>
    <w:basedOn w:val="Domylnaczcionkaakapitu"/>
    <w:rsid w:val="00DA5CAF"/>
  </w:style>
  <w:style w:type="character" w:styleId="Hipercze">
    <w:name w:val="Hyperlink"/>
    <w:basedOn w:val="Domylnaczcionkaakapitu"/>
    <w:uiPriority w:val="99"/>
    <w:unhideWhenUsed/>
    <w:rsid w:val="00DA5C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941</Words>
  <Characters>5646</Characters>
  <Application>Microsoft Office Word</Application>
  <DocSecurity>0</DocSecurity>
  <Lines>47</Lines>
  <Paragraphs>13</Paragraphs>
  <ScaleCrop>false</ScaleCrop>
  <Company>Forum Media Polska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2024-08-08T11:52:00Z</dcterms:created>
  <dcterms:modified xsi:type="dcterms:W3CDTF">2024-08-08T11:52:00Z</dcterms:modified>
</cp:coreProperties>
</file>